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[I128-2488] Каталогизатор: SID предыдущей копии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08473915df7ef954a26e0044be38259e245074"/>
    <w:p>
      <w:pPr>
        <w:pStyle w:val="Heading1"/>
      </w:pPr>
      <w:r>
        <w:t xml:space="preserve">[I128-2488] Каталогизатор: SID предыдущей копии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открытии предыдущей копии записи в Каталогизаторе, если у записи отсутствует SID, назначение служебного идентификатора выполняется напрямую через Record. После выделения границы ответственности Security это оставляет сценарий редактирования предыдущей копии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Сценарий открытия предыдущей копии записи использует общий механизм Security для физического назначения SID. Для пользователя поведение остается прежним: предыдущая копия открывается для редактирования,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modules/Cataloguer/Actions/EditPrevCopy.inc прямой вызов</w:t>
      </w:r>
      <w:r>
        <w:t xml:space="preserve"> </w:t>
      </w:r>
      <m:oMath>
        <m:r>
          <m:t>r</m:t>
        </m:r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record).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[I128-2488] Каталогизатор: SID предыдущей копии записи назначается вне Security</dc:title>
  <dc:creator/>
  <cp:keywords/>
  <dcterms:created xsi:type="dcterms:W3CDTF">2026-08-30T10:28:03Z</dcterms:created>
  <dcterms:modified xsi:type="dcterms:W3CDTF">2026-08-30T10:28:03Z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